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028" w14:textId="2B69A833" w:rsidR="009E72F0" w:rsidRPr="009E72F0" w:rsidRDefault="00EC1BF3" w:rsidP="009E72F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49A09A4" w14:textId="237BCF5E" w:rsidR="00733039" w:rsidRDefault="00D21174" w:rsidP="001C468F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21174">
        <w:rPr>
          <w:rFonts w:ascii="Verdana" w:hAnsi="Verdana"/>
          <w:b/>
          <w:bCs/>
          <w:sz w:val="20"/>
          <w:szCs w:val="20"/>
        </w:rPr>
        <w:t>DSV powiększa powierzchnię w</w:t>
      </w:r>
      <w:r w:rsidR="002335C5">
        <w:rPr>
          <w:rFonts w:ascii="Verdana" w:hAnsi="Verdana"/>
          <w:b/>
          <w:bCs/>
          <w:sz w:val="20"/>
          <w:szCs w:val="20"/>
        </w:rPr>
        <w:t>e</w:t>
      </w:r>
      <w:r w:rsidRPr="00D21174">
        <w:rPr>
          <w:rFonts w:ascii="Verdana" w:hAnsi="Verdana"/>
          <w:b/>
          <w:bCs/>
          <w:sz w:val="20"/>
          <w:szCs w:val="20"/>
        </w:rPr>
        <w:t xml:space="preserve"> Wrocław Campus 2 do 65 000 m kw. – </w:t>
      </w:r>
      <w:proofErr w:type="spellStart"/>
      <w:r w:rsidRPr="00D21174">
        <w:rPr>
          <w:rFonts w:ascii="Verdana" w:hAnsi="Verdana"/>
          <w:b/>
          <w:bCs/>
          <w:sz w:val="20"/>
          <w:szCs w:val="20"/>
        </w:rPr>
        <w:t>Panattoni</w:t>
      </w:r>
      <w:proofErr w:type="spellEnd"/>
      <w:r w:rsidRPr="00D21174">
        <w:rPr>
          <w:rFonts w:ascii="Verdana" w:hAnsi="Verdana"/>
          <w:b/>
          <w:bCs/>
          <w:sz w:val="20"/>
          <w:szCs w:val="20"/>
        </w:rPr>
        <w:t xml:space="preserve"> dostarcza kolejne 20 000 m kw. dla globalnego lidera logistyki</w:t>
      </w:r>
    </w:p>
    <w:p w14:paraId="4FB342FA" w14:textId="77777777" w:rsidR="00D21174" w:rsidRPr="009E72F0" w:rsidRDefault="00D21174" w:rsidP="001C468F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39B0C00" w14:textId="1114559E" w:rsidR="009E72F0" w:rsidRDefault="00733039" w:rsidP="009E72F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33039">
        <w:rPr>
          <w:rFonts w:ascii="Verdana" w:hAnsi="Verdana"/>
          <w:b/>
          <w:bCs/>
          <w:sz w:val="20"/>
          <w:szCs w:val="20"/>
        </w:rPr>
        <w:t xml:space="preserve">DSV – Global Transport and Logistics i </w:t>
      </w:r>
      <w:proofErr w:type="spellStart"/>
      <w:r w:rsidRPr="00733039">
        <w:rPr>
          <w:rFonts w:ascii="Verdana" w:hAnsi="Verdana"/>
          <w:b/>
          <w:bCs/>
          <w:sz w:val="20"/>
          <w:szCs w:val="20"/>
        </w:rPr>
        <w:t>Panattoni</w:t>
      </w:r>
      <w:proofErr w:type="spellEnd"/>
      <w:r w:rsidRPr="00733039">
        <w:rPr>
          <w:rFonts w:ascii="Verdana" w:hAnsi="Verdana"/>
          <w:b/>
          <w:bCs/>
          <w:sz w:val="20"/>
          <w:szCs w:val="20"/>
        </w:rPr>
        <w:t xml:space="preserve"> rozszerzają współpracę w ramach Wrocław Campus 2. Największy operator logistyczny na świecie wynajął dodatkowe blisko 20 000 m kw. powierzchni w kompleksie w Krzyżowicach k. Wrocławia, zaledwie kilka miesięcy po uruchomieniu pierwszych operacji. Dzięki nowej umowie DSV będzie zajmować w inwestycji ponad 65 000 m kw. powierzchni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0633D881" w14:textId="77777777" w:rsidR="00733039" w:rsidRPr="009E72F0" w:rsidRDefault="00733039" w:rsidP="009E72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617964" w14:textId="4F7B9C64" w:rsidR="009E72F0" w:rsidRDefault="00733039" w:rsidP="009E72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3039">
        <w:rPr>
          <w:rFonts w:ascii="Verdana" w:hAnsi="Verdana"/>
          <w:sz w:val="20"/>
          <w:szCs w:val="20"/>
        </w:rPr>
        <w:t xml:space="preserve">DSV jest </w:t>
      </w:r>
      <w:r w:rsidR="002C512C">
        <w:rPr>
          <w:rFonts w:ascii="Verdana" w:hAnsi="Verdana"/>
          <w:sz w:val="20"/>
          <w:szCs w:val="20"/>
        </w:rPr>
        <w:t xml:space="preserve">jednym z kluczowych najemców </w:t>
      </w:r>
      <w:r w:rsidRPr="00733039">
        <w:rPr>
          <w:rFonts w:ascii="Verdana" w:hAnsi="Verdana"/>
          <w:sz w:val="20"/>
          <w:szCs w:val="20"/>
        </w:rPr>
        <w:t xml:space="preserve">Wrocław Campus 2 – jednego z największych kompleksów przemysłowych </w:t>
      </w:r>
      <w:proofErr w:type="spellStart"/>
      <w:r w:rsidRPr="00733039">
        <w:rPr>
          <w:rFonts w:ascii="Verdana" w:hAnsi="Verdana"/>
          <w:sz w:val="20"/>
          <w:szCs w:val="20"/>
        </w:rPr>
        <w:t>Panattoni</w:t>
      </w:r>
      <w:proofErr w:type="spellEnd"/>
      <w:r w:rsidRPr="00733039">
        <w:rPr>
          <w:rFonts w:ascii="Verdana" w:hAnsi="Verdana"/>
          <w:sz w:val="20"/>
          <w:szCs w:val="20"/>
        </w:rPr>
        <w:t xml:space="preserve"> na Dolnym Śląsku.</w:t>
      </w:r>
      <w:r>
        <w:rPr>
          <w:rFonts w:ascii="Verdana" w:hAnsi="Verdana"/>
          <w:sz w:val="20"/>
          <w:szCs w:val="20"/>
        </w:rPr>
        <w:t xml:space="preserve"> </w:t>
      </w:r>
      <w:r w:rsidR="002C512C" w:rsidRPr="002C512C">
        <w:rPr>
          <w:rFonts w:ascii="Verdana" w:hAnsi="Verdana"/>
          <w:sz w:val="20"/>
          <w:szCs w:val="20"/>
        </w:rPr>
        <w:t>Operator prowadzi działalność w obiekcie od lutego 2026 roku, obsługując stąd procesy logistyczne i dystrybucyjne na wielu rynkach europejskich.</w:t>
      </w:r>
      <w:r w:rsidR="002C512C">
        <w:rPr>
          <w:rFonts w:ascii="Verdana" w:hAnsi="Verdana"/>
          <w:sz w:val="20"/>
          <w:szCs w:val="20"/>
        </w:rPr>
        <w:t xml:space="preserve"> </w:t>
      </w:r>
      <w:r w:rsidR="00B23B44" w:rsidRPr="00B23B44">
        <w:rPr>
          <w:rFonts w:ascii="Verdana" w:hAnsi="Verdana"/>
          <w:sz w:val="20"/>
          <w:szCs w:val="20"/>
        </w:rPr>
        <w:t xml:space="preserve">Nowa umowa obejmuje 19 800 m kw. powierzchni magazynowej oraz około 200 m kw. zaplecza biurowego. Przestrzeń zostanie dostosowana do specyfiki procesów realizowanych przez DSV oraz dalszego rozwoju jego działalności. Uruchomienie operacji w nowej części inwestycji planowane jest </w:t>
      </w:r>
      <w:r w:rsidR="00A07741" w:rsidRPr="00477C9D">
        <w:rPr>
          <w:rFonts w:ascii="Verdana" w:hAnsi="Verdana"/>
          <w:sz w:val="20"/>
          <w:szCs w:val="20"/>
        </w:rPr>
        <w:t>w drugiej połowie</w:t>
      </w:r>
      <w:r w:rsidR="00B23B44" w:rsidRPr="00477C9D">
        <w:rPr>
          <w:rFonts w:ascii="Verdana" w:hAnsi="Verdana"/>
          <w:sz w:val="20"/>
          <w:szCs w:val="20"/>
        </w:rPr>
        <w:t xml:space="preserve"> 2026 roku</w:t>
      </w:r>
      <w:r w:rsidR="00B23B44" w:rsidRPr="00B23B44">
        <w:rPr>
          <w:rFonts w:ascii="Verdana" w:hAnsi="Verdana"/>
          <w:sz w:val="20"/>
          <w:szCs w:val="20"/>
        </w:rPr>
        <w:t>.</w:t>
      </w:r>
    </w:p>
    <w:p w14:paraId="616F45A5" w14:textId="77777777" w:rsidR="00B23B44" w:rsidRPr="009E72F0" w:rsidRDefault="00B23B44" w:rsidP="009E72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47AD00A" w14:textId="2AF8AC0E" w:rsidR="009E72F0" w:rsidRPr="00CD60E6" w:rsidRDefault="009E72F0" w:rsidP="00CD60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60E6">
        <w:rPr>
          <w:rFonts w:ascii="Verdana" w:hAnsi="Verdana"/>
          <w:sz w:val="20"/>
          <w:szCs w:val="20"/>
        </w:rPr>
        <w:t>– „</w:t>
      </w:r>
      <w:r w:rsidR="00320F1A" w:rsidRPr="00320F1A">
        <w:rPr>
          <w:rFonts w:ascii="Verdana" w:hAnsi="Verdana"/>
          <w:sz w:val="20"/>
          <w:szCs w:val="20"/>
        </w:rPr>
        <w:t>Krzyżowice to wyjątkowe miejsce. W niespełna trzy miesiące stworzyliśmy tu dla naszego klienta strategiczne centrum logistyczne, z którego koordynujemy procesy magazynowania oraz dystrybucji towarów na 34 rynki w Europie. Odpowiednia, dostosowana do naszych wymagań infrastruktura oraz dostęp do wykwalifikowanych pracowników bez wątpienia były fundamentem tego sukcesu. Jednocześnie trzeba podkreślić rosnącą rolę Dolnego Śląska w europejskim systemie logistycznym. Wierzymy w dalszy potencjał regionu i właśnie dlatego zainwestowaliśmy w zwiększenie powierzchni. Dzięki finalizacji tej transakcji w Polsce będziemy zarządzali 36 magazynami o łącznej powierzchni 567 tys. m</w:t>
      </w:r>
      <w:r w:rsidR="007B4967">
        <w:rPr>
          <w:rFonts w:ascii="Verdana" w:hAnsi="Verdana"/>
          <w:sz w:val="20"/>
          <w:szCs w:val="20"/>
        </w:rPr>
        <w:t xml:space="preserve"> </w:t>
      </w:r>
      <w:r w:rsidR="00320F1A" w:rsidRPr="00320F1A">
        <w:rPr>
          <w:rFonts w:ascii="Verdana" w:hAnsi="Verdana"/>
          <w:sz w:val="20"/>
          <w:szCs w:val="20"/>
        </w:rPr>
        <w:t>kw.</w:t>
      </w:r>
      <w:r w:rsidRPr="00CD60E6">
        <w:rPr>
          <w:rFonts w:ascii="Verdana" w:hAnsi="Verdana"/>
          <w:sz w:val="20"/>
          <w:szCs w:val="20"/>
        </w:rPr>
        <w:t xml:space="preserve">” – mówi </w:t>
      </w:r>
      <w:r w:rsidR="00CD60E6" w:rsidRPr="009906F1">
        <w:rPr>
          <w:rFonts w:ascii="Verdana" w:hAnsi="Verdana"/>
          <w:b/>
          <w:bCs/>
          <w:sz w:val="20"/>
          <w:szCs w:val="20"/>
        </w:rPr>
        <w:t xml:space="preserve">Piotr Wojtkowski, dyrektor ds. </w:t>
      </w:r>
      <w:r w:rsidR="009906F1">
        <w:rPr>
          <w:rFonts w:ascii="Verdana" w:hAnsi="Verdana"/>
          <w:b/>
          <w:bCs/>
          <w:sz w:val="20"/>
          <w:szCs w:val="20"/>
        </w:rPr>
        <w:t>komercyjnych</w:t>
      </w:r>
      <w:r w:rsidRPr="00CD60E6">
        <w:rPr>
          <w:rFonts w:ascii="Verdana" w:hAnsi="Verdana"/>
          <w:b/>
          <w:bCs/>
          <w:sz w:val="20"/>
          <w:szCs w:val="20"/>
        </w:rPr>
        <w:t>, DSV – Global Transport and Logistics</w:t>
      </w:r>
      <w:r w:rsidRPr="00CD60E6">
        <w:rPr>
          <w:rFonts w:ascii="Verdana" w:hAnsi="Verdana"/>
          <w:sz w:val="20"/>
          <w:szCs w:val="20"/>
        </w:rPr>
        <w:t>.</w:t>
      </w:r>
    </w:p>
    <w:p w14:paraId="168BD9E4" w14:textId="77777777" w:rsidR="009E72F0" w:rsidRPr="00CD60E6" w:rsidRDefault="009E72F0" w:rsidP="009E72F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E32B388" w14:textId="522CA8DB" w:rsidR="009E72F0" w:rsidRPr="009E72F0" w:rsidRDefault="00B23B44" w:rsidP="009E72F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23B44">
        <w:rPr>
          <w:rFonts w:ascii="Verdana" w:hAnsi="Verdana"/>
          <w:sz w:val="20"/>
          <w:szCs w:val="20"/>
        </w:rPr>
        <w:t xml:space="preserve">– </w:t>
      </w:r>
      <w:r w:rsidR="003021ED">
        <w:rPr>
          <w:rFonts w:ascii="Verdana" w:hAnsi="Verdana"/>
          <w:sz w:val="20"/>
          <w:szCs w:val="20"/>
        </w:rPr>
        <w:t>„</w:t>
      </w:r>
      <w:r w:rsidRPr="00B23B44">
        <w:rPr>
          <w:rFonts w:ascii="Verdana" w:hAnsi="Verdana"/>
          <w:sz w:val="20"/>
          <w:szCs w:val="20"/>
        </w:rPr>
        <w:t xml:space="preserve">Rozszerzenie współpracy z DSV w ramach Wrocław Campus 2 potwierdza, że nowoczesne i </w:t>
      </w:r>
      <w:r>
        <w:rPr>
          <w:rFonts w:ascii="Verdana" w:hAnsi="Verdana"/>
          <w:sz w:val="20"/>
          <w:szCs w:val="20"/>
        </w:rPr>
        <w:t>doskonale zlokalizowane</w:t>
      </w:r>
      <w:r w:rsidRPr="00B23B44">
        <w:rPr>
          <w:rFonts w:ascii="Verdana" w:hAnsi="Verdana"/>
          <w:sz w:val="20"/>
          <w:szCs w:val="20"/>
        </w:rPr>
        <w:t xml:space="preserve"> powierzchnie przemysłowe pozostają kluczowym elementem rozwoju operatorów logistycznych. </w:t>
      </w:r>
      <w:r w:rsidR="002C512C" w:rsidRPr="002C512C">
        <w:rPr>
          <w:rFonts w:ascii="Verdana" w:hAnsi="Verdana"/>
          <w:sz w:val="20"/>
          <w:szCs w:val="20"/>
        </w:rPr>
        <w:t>Fakt, że decyzja o zwiększeniu powierzchni zapadła już kilka miesięcy po uruchomieniu pierwszych operacji, najlepiej pokazuje tempo rozwoju działalności DSV oraz potencjał projektu Wrocław Campus 2</w:t>
      </w:r>
      <w:r w:rsidR="00D7328D">
        <w:rPr>
          <w:rFonts w:ascii="Verdana" w:hAnsi="Verdana"/>
          <w:sz w:val="20"/>
          <w:szCs w:val="20"/>
        </w:rPr>
        <w:t xml:space="preserve">. </w:t>
      </w:r>
      <w:r w:rsidR="009C23B2" w:rsidRPr="009C23B2">
        <w:rPr>
          <w:rFonts w:ascii="Verdana" w:hAnsi="Verdana"/>
          <w:sz w:val="20"/>
          <w:szCs w:val="20"/>
        </w:rPr>
        <w:t>Łą</w:t>
      </w:r>
      <w:r w:rsidR="00CA0BE2">
        <w:rPr>
          <w:rFonts w:ascii="Verdana" w:hAnsi="Verdana"/>
          <w:sz w:val="20"/>
          <w:szCs w:val="20"/>
        </w:rPr>
        <w:t>cznie w</w:t>
      </w:r>
      <w:r w:rsidR="009C23B2" w:rsidRPr="009C23B2">
        <w:rPr>
          <w:rFonts w:ascii="Verdana" w:hAnsi="Verdana"/>
          <w:sz w:val="20"/>
          <w:szCs w:val="20"/>
        </w:rPr>
        <w:t xml:space="preserve">e wrocławskich </w:t>
      </w:r>
      <w:r w:rsidR="00C73478">
        <w:rPr>
          <w:rFonts w:ascii="Verdana" w:hAnsi="Verdana"/>
          <w:sz w:val="20"/>
          <w:szCs w:val="20"/>
        </w:rPr>
        <w:t>inwestycjach</w:t>
      </w:r>
      <w:r w:rsidR="009C23B2" w:rsidRPr="009C23B2">
        <w:rPr>
          <w:rFonts w:ascii="Verdana" w:hAnsi="Verdana"/>
          <w:sz w:val="20"/>
          <w:szCs w:val="20"/>
        </w:rPr>
        <w:t xml:space="preserve"> </w:t>
      </w:r>
      <w:proofErr w:type="spellStart"/>
      <w:r w:rsidR="009C23B2" w:rsidRPr="009C23B2">
        <w:rPr>
          <w:rFonts w:ascii="Verdana" w:hAnsi="Verdana"/>
          <w:sz w:val="20"/>
          <w:szCs w:val="20"/>
        </w:rPr>
        <w:t>Panattoni</w:t>
      </w:r>
      <w:proofErr w:type="spellEnd"/>
      <w:r w:rsidR="009C23B2" w:rsidRPr="009C23B2">
        <w:rPr>
          <w:rFonts w:ascii="Verdana" w:hAnsi="Verdana"/>
          <w:sz w:val="20"/>
          <w:szCs w:val="20"/>
        </w:rPr>
        <w:t xml:space="preserve"> DSV operuje już na </w:t>
      </w:r>
      <w:r w:rsidR="00E31880">
        <w:rPr>
          <w:rFonts w:ascii="Verdana" w:hAnsi="Verdana"/>
          <w:sz w:val="20"/>
          <w:szCs w:val="20"/>
        </w:rPr>
        <w:t xml:space="preserve">powierzchni </w:t>
      </w:r>
      <w:r w:rsidR="00477C9D">
        <w:rPr>
          <w:rFonts w:ascii="Verdana" w:hAnsi="Verdana"/>
          <w:sz w:val="20"/>
          <w:szCs w:val="20"/>
        </w:rPr>
        <w:t>ok.</w:t>
      </w:r>
      <w:r w:rsidR="009906F1">
        <w:rPr>
          <w:rFonts w:ascii="Verdana" w:hAnsi="Verdana"/>
          <w:sz w:val="20"/>
          <w:szCs w:val="20"/>
        </w:rPr>
        <w:t xml:space="preserve"> </w:t>
      </w:r>
      <w:r w:rsidR="009C23B2" w:rsidRPr="009C23B2">
        <w:rPr>
          <w:rFonts w:ascii="Verdana" w:hAnsi="Verdana"/>
          <w:sz w:val="20"/>
          <w:szCs w:val="20"/>
        </w:rPr>
        <w:t>160</w:t>
      </w:r>
      <w:r w:rsidR="00E761CD">
        <w:rPr>
          <w:rFonts w:ascii="Verdana" w:hAnsi="Verdana"/>
          <w:sz w:val="20"/>
          <w:szCs w:val="20"/>
        </w:rPr>
        <w:t> </w:t>
      </w:r>
      <w:r w:rsidR="009C23B2" w:rsidRPr="009C23B2">
        <w:rPr>
          <w:rFonts w:ascii="Verdana" w:hAnsi="Verdana"/>
          <w:sz w:val="20"/>
          <w:szCs w:val="20"/>
        </w:rPr>
        <w:t>000</w:t>
      </w:r>
      <w:r w:rsidR="00E761CD">
        <w:rPr>
          <w:rFonts w:ascii="Verdana" w:hAnsi="Verdana"/>
          <w:sz w:val="20"/>
          <w:szCs w:val="20"/>
        </w:rPr>
        <w:t xml:space="preserve"> </w:t>
      </w:r>
      <w:r w:rsidR="00F007D1">
        <w:rPr>
          <w:rFonts w:ascii="Verdana" w:hAnsi="Verdana"/>
          <w:sz w:val="20"/>
          <w:szCs w:val="20"/>
        </w:rPr>
        <w:t>m kw.</w:t>
      </w:r>
      <w:r w:rsidR="00733039">
        <w:rPr>
          <w:rFonts w:ascii="Verdana" w:hAnsi="Verdana"/>
          <w:sz w:val="20"/>
          <w:szCs w:val="20"/>
        </w:rPr>
        <w:t>”</w:t>
      </w:r>
      <w:r w:rsidRPr="00B23B44">
        <w:rPr>
          <w:rFonts w:ascii="Verdana" w:hAnsi="Verdana"/>
          <w:sz w:val="20"/>
          <w:szCs w:val="20"/>
        </w:rPr>
        <w:t xml:space="preserve"> </w:t>
      </w:r>
      <w:r w:rsidR="00733039" w:rsidRPr="00733039">
        <w:rPr>
          <w:rFonts w:ascii="Verdana" w:hAnsi="Verdana"/>
          <w:sz w:val="20"/>
          <w:szCs w:val="20"/>
        </w:rPr>
        <w:t xml:space="preserve">– mówi </w:t>
      </w:r>
      <w:r w:rsidR="00386EB0">
        <w:rPr>
          <w:rFonts w:ascii="Verdana" w:hAnsi="Verdana"/>
          <w:b/>
          <w:bCs/>
          <w:sz w:val="20"/>
          <w:szCs w:val="20"/>
        </w:rPr>
        <w:t>Damian Kowalczyk</w:t>
      </w:r>
      <w:r w:rsidR="00733039" w:rsidRPr="00733039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5F4AB6" w:rsidRPr="005F4AB6">
        <w:rPr>
          <w:rFonts w:ascii="Verdana" w:hAnsi="Verdana"/>
          <w:b/>
          <w:bCs/>
          <w:sz w:val="20"/>
          <w:szCs w:val="20"/>
        </w:rPr>
        <w:t>Managing</w:t>
      </w:r>
      <w:proofErr w:type="spellEnd"/>
      <w:r w:rsidR="005F4AB6" w:rsidRPr="005F4AB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5F4AB6" w:rsidRPr="005F4AB6">
        <w:rPr>
          <w:rFonts w:ascii="Verdana" w:hAnsi="Verdana"/>
          <w:b/>
          <w:bCs/>
          <w:sz w:val="20"/>
          <w:szCs w:val="20"/>
        </w:rPr>
        <w:t>Director</w:t>
      </w:r>
      <w:proofErr w:type="spellEnd"/>
      <w:r w:rsidR="005F4AB6" w:rsidRPr="005F4AB6">
        <w:rPr>
          <w:rFonts w:ascii="Verdana" w:hAnsi="Verdana"/>
          <w:b/>
          <w:bCs/>
          <w:sz w:val="20"/>
          <w:szCs w:val="20"/>
        </w:rPr>
        <w:t xml:space="preserve"> Romania and Lower Silesia Region (Poland</w:t>
      </w:r>
      <w:r w:rsidR="00D7328D">
        <w:rPr>
          <w:rFonts w:ascii="Verdana" w:hAnsi="Verdana"/>
          <w:b/>
          <w:bCs/>
          <w:sz w:val="20"/>
          <w:szCs w:val="20"/>
        </w:rPr>
        <w:t>),</w:t>
      </w:r>
      <w:r w:rsidR="00733039" w:rsidRPr="0073303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33039" w:rsidRPr="00733039">
        <w:rPr>
          <w:rFonts w:ascii="Verdana" w:hAnsi="Verdana"/>
          <w:b/>
          <w:bCs/>
          <w:sz w:val="20"/>
          <w:szCs w:val="20"/>
        </w:rPr>
        <w:t>Panattoni</w:t>
      </w:r>
      <w:proofErr w:type="spellEnd"/>
      <w:r w:rsidR="00733039">
        <w:rPr>
          <w:rFonts w:ascii="Verdana" w:hAnsi="Verdana"/>
          <w:sz w:val="20"/>
          <w:szCs w:val="20"/>
        </w:rPr>
        <w:t>.</w:t>
      </w:r>
      <w:r w:rsidR="000122D8">
        <w:rPr>
          <w:rFonts w:ascii="Verdana" w:hAnsi="Verdana"/>
          <w:sz w:val="20"/>
          <w:szCs w:val="20"/>
        </w:rPr>
        <w:t xml:space="preserve"> </w:t>
      </w:r>
    </w:p>
    <w:p w14:paraId="546A7475" w14:textId="77777777" w:rsidR="00733039" w:rsidRDefault="00733039" w:rsidP="00733039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</w:p>
    <w:p w14:paraId="5204B15E" w14:textId="77838BF7" w:rsidR="008778C1" w:rsidRDefault="00DD3466" w:rsidP="00733039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Budowa Wrocław Campus 2 </w:t>
      </w:r>
      <w:r w:rsidR="006D5E2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została zakończona w maju bieżącego roku – </w:t>
      </w:r>
      <w:r w:rsidR="00A559E5">
        <w:rPr>
          <w:rStyle w:val="Pogrubienie"/>
          <w:rFonts w:ascii="Verdana" w:hAnsi="Verdana"/>
          <w:b w:val="0"/>
          <w:bCs w:val="0"/>
          <w:sz w:val="20"/>
          <w:szCs w:val="20"/>
        </w:rPr>
        <w:t>inwestycja</w:t>
      </w:r>
      <w:r w:rsidR="006D5E2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osiągn</w:t>
      </w:r>
      <w:r w:rsidR="00A559E5">
        <w:rPr>
          <w:rStyle w:val="Pogrubienie"/>
          <w:rFonts w:ascii="Verdana" w:hAnsi="Verdana"/>
          <w:b w:val="0"/>
          <w:bCs w:val="0"/>
          <w:sz w:val="20"/>
          <w:szCs w:val="20"/>
        </w:rPr>
        <w:t>ę</w:t>
      </w:r>
      <w:r w:rsidR="006D5E26">
        <w:rPr>
          <w:rStyle w:val="Pogrubienie"/>
          <w:rFonts w:ascii="Verdana" w:hAnsi="Verdana"/>
          <w:b w:val="0"/>
          <w:bCs w:val="0"/>
          <w:sz w:val="20"/>
          <w:szCs w:val="20"/>
        </w:rPr>
        <w:t>ł</w:t>
      </w:r>
      <w:r w:rsidR="00A559E5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="006D5E2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docelową powierzchnię 160 000 m kw. </w:t>
      </w:r>
      <w:r w:rsidR="00F357AD" w:rsidRPr="00F357AD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Kompleks zlokalizowany jest około 20 km od centrum Wrocławia, w obrębie jednego z kluczowych </w:t>
      </w:r>
      <w:proofErr w:type="spellStart"/>
      <w:r w:rsidR="00F357AD" w:rsidRPr="00F357AD">
        <w:rPr>
          <w:rStyle w:val="Pogrubienie"/>
          <w:rFonts w:ascii="Verdana" w:hAnsi="Verdana"/>
          <w:b w:val="0"/>
          <w:bCs w:val="0"/>
          <w:sz w:val="20"/>
          <w:szCs w:val="20"/>
        </w:rPr>
        <w:t>hubów</w:t>
      </w:r>
      <w:proofErr w:type="spellEnd"/>
      <w:r w:rsidR="00F357AD" w:rsidRPr="00F357AD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logistycznych Europy Środkowo-Wschodniej. Położenie przy drodze ekspresowej S8 oraz w pobliżu autostrad A4 i A8 zapewnia sprawne połączenia z najważniejszymi korytarzami transportowymi Polski i Europy. Dzięki temu park umożliwia efektywną obsługę zarówno rynku krajowego, jak i międzynarodowego, stanowiąc atrakcyjną lokalizację dla firm rozwijających działalność na rynkach Europy Zachodniej i Środkowej.</w:t>
      </w:r>
      <w:r w:rsidR="00002721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</w:t>
      </w:r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Zgodnie ze standardem </w:t>
      </w:r>
      <w:proofErr w:type="spellStart"/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>Panattoni</w:t>
      </w:r>
      <w:proofErr w:type="spellEnd"/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, </w:t>
      </w:r>
      <w:r w:rsidR="00B17E2C">
        <w:rPr>
          <w:rStyle w:val="Pogrubienie"/>
          <w:rFonts w:ascii="Verdana" w:hAnsi="Verdana"/>
          <w:b w:val="0"/>
          <w:bCs w:val="0"/>
          <w:sz w:val="20"/>
          <w:szCs w:val="20"/>
        </w:rPr>
        <w:t>inwestycja</w:t>
      </w:r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przejdzie certyfikację środowiskową BREEAM na poziomie </w:t>
      </w:r>
      <w:proofErr w:type="spellStart"/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>Excellent</w:t>
      </w:r>
      <w:proofErr w:type="spellEnd"/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. W </w:t>
      </w:r>
      <w:r w:rsidR="00B17E2C">
        <w:rPr>
          <w:rStyle w:val="Pogrubienie"/>
          <w:rFonts w:ascii="Verdana" w:hAnsi="Verdana"/>
          <w:b w:val="0"/>
          <w:bCs w:val="0"/>
          <w:sz w:val="20"/>
          <w:szCs w:val="20"/>
        </w:rPr>
        <w:t>obiekcie</w:t>
      </w:r>
      <w:r w:rsidR="00733039" w:rsidRPr="0073303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zastosowano rozwiązania wspierające efektywność energetyczną, m.in. zaawansowaną termoizolację oraz inteligentne systemy sterowania ogrzewaniem i chłodzeniem.</w:t>
      </w:r>
    </w:p>
    <w:p w14:paraId="2459F698" w14:textId="77777777" w:rsidR="00A277C1" w:rsidRDefault="00A277C1" w:rsidP="00733039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</w:p>
    <w:p w14:paraId="29EBB2C0" w14:textId="0429F79F" w:rsidR="00A277C1" w:rsidRPr="00A277C1" w:rsidRDefault="00A277C1" w:rsidP="00A277C1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A277C1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Wrocław pozostaje jednym z najaktywniejszych rynków logistycznych w Polsce. W pierwszym kwartale 2026 roku region odnotował 355 000 m kw. całkowitego popytu, z czego 226 000 m kw. stanowiły nowe umowy i ekspansje. Zasoby nowoczesnej powierzchni magazynowej we Wrocławiu osiągnęły 5,27 mln m kw., plasując region na trzecim miejscu w kraju. W warunkach kurczących się zasobów powierzchni w budowie w całej Polsce – która spadła do 1,4 mln m kw., z czego ponad 60% jest już zabezpieczone umowami </w:t>
      </w:r>
      <w:proofErr w:type="spellStart"/>
      <w:r w:rsidRPr="00A277C1">
        <w:rPr>
          <w:rStyle w:val="Pogrubienie"/>
          <w:rFonts w:ascii="Verdana" w:hAnsi="Verdana"/>
          <w:b w:val="0"/>
          <w:bCs w:val="0"/>
          <w:sz w:val="20"/>
          <w:szCs w:val="20"/>
        </w:rPr>
        <w:t>przednajmu</w:t>
      </w:r>
      <w:proofErr w:type="spellEnd"/>
      <w:r w:rsidRPr="00A277C1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– możliwość szybkiej ekspansji w ramach istniejącego kompleksu staje się realną przewagą konkurencyjną. </w:t>
      </w:r>
    </w:p>
    <w:p w14:paraId="52354458" w14:textId="77777777" w:rsidR="00A277C1" w:rsidRPr="00A277C1" w:rsidRDefault="00A277C1" w:rsidP="00A277C1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</w:p>
    <w:p w14:paraId="3EA86552" w14:textId="0792FB7F" w:rsidR="00A277C1" w:rsidRDefault="009C287F" w:rsidP="00A277C1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B23B44">
        <w:rPr>
          <w:rFonts w:ascii="Verdana" w:hAnsi="Verdana"/>
          <w:sz w:val="20"/>
          <w:szCs w:val="20"/>
        </w:rPr>
        <w:t xml:space="preserve">– </w:t>
      </w:r>
      <w:r w:rsidR="00A277C1" w:rsidRPr="00A277C1">
        <w:rPr>
          <w:rStyle w:val="Pogrubienie"/>
          <w:rFonts w:ascii="Verdana" w:hAnsi="Verdana"/>
          <w:b w:val="0"/>
          <w:bCs w:val="0"/>
          <w:sz w:val="20"/>
          <w:szCs w:val="20"/>
        </w:rPr>
        <w:t>„Szybka ekspansja DSV w</w:t>
      </w:r>
      <w:r w:rsidR="00FA3095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="00A277C1" w:rsidRPr="00A277C1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Wrocław Campus 2 to doskonały przykład tego, jak strategiczne lokalizacje odpowiadają na realne potrzeby operatorów logistycznych obsługujących wiele rynków europejskich. Możliwość zwiększenia powierzchni w ramach istniejącego kompleksu, bez konieczności przenoszenia operacji czy budowania procesów od podstaw, to dziś kluczowa przewaga. W warunkach napiętego rynku, gdzie dostępność dużych jednostek jest ograniczona, elastyczność i potencjał rozbudowy stają się równie ważne jak sama lokalizacja" – mówi </w:t>
      </w:r>
      <w:r w:rsidR="00A277C1" w:rsidRPr="009C287F">
        <w:rPr>
          <w:rStyle w:val="Pogrubienie"/>
          <w:rFonts w:ascii="Verdana" w:hAnsi="Verdana"/>
          <w:sz w:val="20"/>
          <w:szCs w:val="20"/>
        </w:rPr>
        <w:t xml:space="preserve">Tomasz Mika, </w:t>
      </w:r>
      <w:proofErr w:type="spellStart"/>
      <w:r w:rsidR="00A277C1" w:rsidRPr="009C287F">
        <w:rPr>
          <w:rStyle w:val="Pogrubienie"/>
          <w:rFonts w:ascii="Verdana" w:hAnsi="Verdana"/>
          <w:sz w:val="20"/>
          <w:szCs w:val="20"/>
        </w:rPr>
        <w:t>Head</w:t>
      </w:r>
      <w:proofErr w:type="spellEnd"/>
      <w:r w:rsidR="00A277C1" w:rsidRPr="009C287F">
        <w:rPr>
          <w:rStyle w:val="Pogrubienie"/>
          <w:rFonts w:ascii="Verdana" w:hAnsi="Verdana"/>
          <w:sz w:val="20"/>
          <w:szCs w:val="20"/>
        </w:rPr>
        <w:t xml:space="preserve"> of </w:t>
      </w:r>
      <w:proofErr w:type="spellStart"/>
      <w:r w:rsidR="00A277C1" w:rsidRPr="009C287F">
        <w:rPr>
          <w:rStyle w:val="Pogrubienie"/>
          <w:rFonts w:ascii="Verdana" w:hAnsi="Verdana"/>
          <w:sz w:val="20"/>
          <w:szCs w:val="20"/>
        </w:rPr>
        <w:t>Industrial</w:t>
      </w:r>
      <w:proofErr w:type="spellEnd"/>
      <w:r w:rsidR="00A277C1" w:rsidRPr="009C287F">
        <w:rPr>
          <w:rStyle w:val="Pogrubienie"/>
          <w:rFonts w:ascii="Verdana" w:hAnsi="Verdana"/>
          <w:sz w:val="20"/>
          <w:szCs w:val="20"/>
        </w:rPr>
        <w:t xml:space="preserve"> </w:t>
      </w:r>
      <w:proofErr w:type="spellStart"/>
      <w:r w:rsidR="00A277C1" w:rsidRPr="009C287F">
        <w:rPr>
          <w:rStyle w:val="Pogrubienie"/>
          <w:rFonts w:ascii="Verdana" w:hAnsi="Verdana"/>
          <w:sz w:val="20"/>
          <w:szCs w:val="20"/>
        </w:rPr>
        <w:t>Agency</w:t>
      </w:r>
      <w:proofErr w:type="spellEnd"/>
      <w:r w:rsidR="00A277C1" w:rsidRPr="009C287F">
        <w:rPr>
          <w:rStyle w:val="Pogrubienie"/>
          <w:rFonts w:ascii="Verdana" w:hAnsi="Verdana"/>
          <w:sz w:val="20"/>
          <w:szCs w:val="20"/>
        </w:rPr>
        <w:t>, JLL.</w:t>
      </w:r>
    </w:p>
    <w:p w14:paraId="477A97F9" w14:textId="77777777" w:rsidR="00387322" w:rsidRDefault="00387322" w:rsidP="00A72C5A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</w:p>
    <w:p w14:paraId="5C2BB209" w14:textId="77777777" w:rsidR="00387322" w:rsidRPr="00122DEC" w:rsidRDefault="00387322" w:rsidP="00A72C5A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</w:p>
    <w:p w14:paraId="4A93D5BF" w14:textId="77777777" w:rsidR="00E30F4A" w:rsidRPr="00122DEC" w:rsidRDefault="00693550" w:rsidP="00A72C5A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122DEC">
        <w:rPr>
          <w:rFonts w:ascii="Verdana" w:hAnsi="Verdana"/>
          <w:b/>
          <w:color w:val="000000" w:themeColor="text1"/>
          <w:sz w:val="20"/>
          <w:szCs w:val="20"/>
        </w:rPr>
        <w:t>Dodatkowe informacje:</w:t>
      </w:r>
    </w:p>
    <w:p w14:paraId="247BCA58" w14:textId="77777777" w:rsidR="00E30F4A" w:rsidRPr="00122DEC" w:rsidRDefault="00693550" w:rsidP="00A72C5A">
      <w:pPr>
        <w:spacing w:line="360" w:lineRule="auto"/>
        <w:ind w:right="-142"/>
        <w:rPr>
          <w:rFonts w:ascii="Verdana" w:hAnsi="Verdana"/>
          <w:sz w:val="20"/>
          <w:szCs w:val="20"/>
        </w:rPr>
      </w:pPr>
      <w:r w:rsidRPr="00122DEC">
        <w:rPr>
          <w:rFonts w:ascii="Verdana" w:hAnsi="Verdana" w:cs="Arial"/>
          <w:sz w:val="20"/>
          <w:szCs w:val="20"/>
        </w:rPr>
        <w:t xml:space="preserve">Magdalena </w:t>
      </w:r>
      <w:proofErr w:type="spellStart"/>
      <w:r w:rsidRPr="00122DEC">
        <w:rPr>
          <w:rFonts w:ascii="Verdana" w:hAnsi="Verdana" w:cs="Arial"/>
          <w:sz w:val="20"/>
          <w:szCs w:val="20"/>
        </w:rPr>
        <w:t>Bugajło</w:t>
      </w:r>
      <w:proofErr w:type="spellEnd"/>
      <w:r w:rsidRPr="00122DE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22DEC">
        <w:rPr>
          <w:rFonts w:ascii="Verdana" w:hAnsi="Verdana" w:cs="Arial"/>
          <w:color w:val="000000" w:themeColor="text1"/>
          <w:sz w:val="20"/>
          <w:szCs w:val="20"/>
        </w:rPr>
        <w:t>Panattoni</w:t>
      </w:r>
      <w:proofErr w:type="spellEnd"/>
      <w:r w:rsidRPr="00122DEC">
        <w:rPr>
          <w:rFonts w:ascii="Verdana" w:hAnsi="Verdana" w:cs="Arial"/>
          <w:color w:val="000000" w:themeColor="text1"/>
          <w:sz w:val="20"/>
          <w:szCs w:val="20"/>
        </w:rPr>
        <w:t>, MBugajlo@panattoni.com</w:t>
      </w:r>
    </w:p>
    <w:p w14:paraId="3C0E5029" w14:textId="77777777" w:rsidR="00E30F4A" w:rsidRPr="00A42C6D" w:rsidRDefault="00693550" w:rsidP="00A72C5A">
      <w:pPr>
        <w:spacing w:line="360" w:lineRule="auto"/>
        <w:ind w:right="-142"/>
        <w:rPr>
          <w:rFonts w:ascii="Verdana" w:hAnsi="Verdana"/>
          <w:sz w:val="20"/>
          <w:szCs w:val="20"/>
          <w:lang w:val="en-US"/>
        </w:rPr>
      </w:pPr>
      <w:r w:rsidRPr="00A42C6D">
        <w:rPr>
          <w:rFonts w:ascii="Verdana" w:hAnsi="Verdana" w:cs="Arial"/>
          <w:sz w:val="20"/>
          <w:szCs w:val="20"/>
          <w:lang w:val="en-US"/>
        </w:rPr>
        <w:t>Mikołaj Ziemski, Human Signs, tel. 503 338 267, m.ziemski@humansigns.pl</w:t>
      </w:r>
    </w:p>
    <w:p w14:paraId="0C260599" w14:textId="77777777" w:rsidR="00E30F4A" w:rsidRPr="00A42C6D" w:rsidRDefault="00E30F4A" w:rsidP="00A72C5A">
      <w:pPr>
        <w:pBdr>
          <w:bottom w:val="single" w:sz="4" w:space="1" w:color="00000A"/>
        </w:pBdr>
        <w:ind w:right="-517"/>
        <w:jc w:val="both"/>
        <w:rPr>
          <w:rFonts w:ascii="Verdana" w:hAnsi="Verdana" w:cs="Arial"/>
          <w:sz w:val="20"/>
          <w:szCs w:val="20"/>
          <w:lang w:val="en-US"/>
        </w:rPr>
      </w:pPr>
    </w:p>
    <w:p w14:paraId="29B163C0" w14:textId="77777777" w:rsidR="00E30F4A" w:rsidRPr="00A42C6D" w:rsidRDefault="00E30F4A" w:rsidP="00A72C5A">
      <w:pPr>
        <w:jc w:val="both"/>
        <w:rPr>
          <w:rFonts w:ascii="Verdana" w:hAnsi="Verdana" w:cstheme="majorHAnsi"/>
          <w:sz w:val="18"/>
          <w:szCs w:val="18"/>
          <w:lang w:val="en-US"/>
        </w:rPr>
      </w:pPr>
    </w:p>
    <w:p w14:paraId="154C73D3" w14:textId="77777777" w:rsidR="00E30F4A" w:rsidRPr="00122DEC" w:rsidRDefault="00693550" w:rsidP="00A72C5A">
      <w:pPr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122DEC">
        <w:rPr>
          <w:rFonts w:ascii="Verdana" w:hAnsi="Verdana"/>
          <w:b/>
          <w:bCs/>
          <w:sz w:val="18"/>
          <w:szCs w:val="18"/>
        </w:rPr>
        <w:t>Panattoni</w:t>
      </w:r>
      <w:proofErr w:type="spellEnd"/>
      <w:r w:rsidRPr="00122DEC">
        <w:rPr>
          <w:rFonts w:ascii="Verdana" w:hAnsi="Verdana"/>
          <w:b/>
          <w:bCs/>
          <w:sz w:val="18"/>
          <w:szCs w:val="18"/>
        </w:rPr>
        <w:t xml:space="preserve"> </w:t>
      </w:r>
    </w:p>
    <w:p w14:paraId="31042C89" w14:textId="07B411CF" w:rsidR="00E30F4A" w:rsidRPr="00122DEC" w:rsidRDefault="00693550" w:rsidP="00A72C5A">
      <w:pPr>
        <w:jc w:val="both"/>
        <w:rPr>
          <w:rFonts w:ascii="Verdana" w:hAnsi="Verdana"/>
          <w:sz w:val="20"/>
          <w:szCs w:val="20"/>
        </w:rPr>
      </w:pPr>
      <w:proofErr w:type="spellStart"/>
      <w:r w:rsidRPr="00122DEC">
        <w:rPr>
          <w:rFonts w:ascii="Verdana" w:hAnsi="Verdana"/>
          <w:sz w:val="20"/>
          <w:szCs w:val="20"/>
        </w:rPr>
        <w:lastRenderedPageBreak/>
        <w:t>Panattoni</w:t>
      </w:r>
      <w:proofErr w:type="spellEnd"/>
      <w:r w:rsidRPr="00122DEC">
        <w:rPr>
          <w:rFonts w:ascii="Verdana" w:hAnsi="Verdana"/>
          <w:sz w:val="20"/>
          <w:szCs w:val="20"/>
        </w:rPr>
        <w:t xml:space="preserve"> jest jednym z największych na świecie prywatnych deweloperów nieruchomości przemysłowych i od momentu rozpoczęcia działalności w 2005 r. jest liderem w Europie. Firma posiada </w:t>
      </w:r>
      <w:r w:rsidR="00274AD1">
        <w:rPr>
          <w:rFonts w:ascii="Verdana" w:hAnsi="Verdana"/>
          <w:sz w:val="20"/>
          <w:szCs w:val="20"/>
        </w:rPr>
        <w:t>70</w:t>
      </w:r>
      <w:r w:rsidRPr="00122DEC">
        <w:rPr>
          <w:rFonts w:ascii="Verdana" w:hAnsi="Verdana"/>
          <w:sz w:val="20"/>
          <w:szCs w:val="20"/>
        </w:rPr>
        <w:t xml:space="preserve"> biur w Ameryce Północnej, Indiach, Arabii Saudyjskiej i na Starym Kontynencie. Jej globalne portfolio obejmuje ponad 60 milionów metrów kwadratowych ukończonej powierzchni dla ponad 2500 klientów. Jako wiodący gracz w branży, kładzie duży nacisk na lokalne aktywa i zrównoważone rozwiązania w zakresie nieruchomości.</w:t>
      </w:r>
    </w:p>
    <w:p w14:paraId="082D572B" w14:textId="34C8A8E7" w:rsidR="00E30F4A" w:rsidRPr="00122DEC" w:rsidRDefault="00693550" w:rsidP="00A72C5A">
      <w:pPr>
        <w:jc w:val="both"/>
        <w:rPr>
          <w:rFonts w:ascii="Verdana" w:hAnsi="Verdana"/>
          <w:sz w:val="20"/>
          <w:szCs w:val="20"/>
        </w:rPr>
      </w:pPr>
      <w:r w:rsidRPr="00122DEC">
        <w:rPr>
          <w:rFonts w:ascii="Verdana" w:hAnsi="Verdana"/>
          <w:sz w:val="20"/>
          <w:szCs w:val="20"/>
        </w:rPr>
        <w:t>Do tej pory spółka zrealizowała w Europie projekty o łącznej powierzchni ponad 2</w:t>
      </w:r>
      <w:r w:rsidR="00DB04A4">
        <w:rPr>
          <w:rFonts w:ascii="Verdana" w:hAnsi="Verdana"/>
          <w:sz w:val="20"/>
          <w:szCs w:val="20"/>
        </w:rPr>
        <w:t>5,2</w:t>
      </w:r>
      <w:r w:rsidRPr="00122DEC">
        <w:rPr>
          <w:rFonts w:ascii="Verdana" w:hAnsi="Verdana"/>
          <w:sz w:val="20"/>
          <w:szCs w:val="20"/>
        </w:rPr>
        <w:t xml:space="preserve"> mln m kw. W ramach </w:t>
      </w:r>
      <w:proofErr w:type="spellStart"/>
      <w:r w:rsidRPr="00122DEC">
        <w:rPr>
          <w:rFonts w:ascii="Verdana" w:hAnsi="Verdana"/>
          <w:sz w:val="20"/>
          <w:szCs w:val="20"/>
        </w:rPr>
        <w:t>Panattoni</w:t>
      </w:r>
      <w:proofErr w:type="spellEnd"/>
      <w:r w:rsidRPr="00122DEC">
        <w:rPr>
          <w:rFonts w:ascii="Verdana" w:hAnsi="Verdana"/>
          <w:sz w:val="20"/>
          <w:szCs w:val="20"/>
        </w:rPr>
        <w:t xml:space="preserve"> działa struktura, dedykowana projektom dopasowanym do indywidualnych potrzeb najemców, typu </w:t>
      </w:r>
      <w:proofErr w:type="spellStart"/>
      <w:r w:rsidRPr="00122DEC">
        <w:rPr>
          <w:rFonts w:ascii="Verdana" w:hAnsi="Verdana"/>
          <w:sz w:val="20"/>
          <w:szCs w:val="20"/>
        </w:rPr>
        <w:t>build</w:t>
      </w:r>
      <w:proofErr w:type="spellEnd"/>
      <w:r w:rsidRPr="00122DEC">
        <w:rPr>
          <w:rFonts w:ascii="Verdana" w:hAnsi="Verdana"/>
          <w:sz w:val="20"/>
          <w:szCs w:val="20"/>
        </w:rPr>
        <w:t>-to-suit. Wśród kluczowych klientów są takie firmy jak Amazon, DSV - Global Transport and Logistic</w:t>
      </w:r>
      <w:r w:rsidR="00F3135F" w:rsidRPr="00122DEC">
        <w:rPr>
          <w:rFonts w:ascii="Verdana" w:hAnsi="Verdana"/>
          <w:sz w:val="20"/>
          <w:szCs w:val="20"/>
        </w:rPr>
        <w:t>s</w:t>
      </w:r>
      <w:r w:rsidRPr="00122DEC">
        <w:rPr>
          <w:rFonts w:ascii="Verdana" w:hAnsi="Verdana"/>
          <w:sz w:val="20"/>
          <w:szCs w:val="20"/>
        </w:rPr>
        <w:t>, DHL, FedEx, DPD, XPO, Coca-Cola, Weber, Whirlpool, Bosch, Volkswagen, H&amp;M.</w:t>
      </w:r>
    </w:p>
    <w:p w14:paraId="5C07B280" w14:textId="4152217D" w:rsidR="008A30B7" w:rsidRDefault="00E30F4A" w:rsidP="00A72C5A">
      <w:pPr>
        <w:jc w:val="both"/>
        <w:rPr>
          <w:rFonts w:ascii="Verdana" w:hAnsi="Verdana"/>
          <w:sz w:val="20"/>
          <w:szCs w:val="20"/>
        </w:rPr>
      </w:pPr>
      <w:hyperlink r:id="rId7">
        <w:r w:rsidRPr="00122DEC">
          <w:rPr>
            <w:rStyle w:val="Hipercze"/>
            <w:rFonts w:ascii="Verdana" w:hAnsi="Verdana"/>
            <w:sz w:val="20"/>
            <w:szCs w:val="20"/>
          </w:rPr>
          <w:t>www.panattonieurope.com</w:t>
        </w:r>
      </w:hyperlink>
      <w:r w:rsidRPr="00122DEC">
        <w:rPr>
          <w:rFonts w:ascii="Verdana" w:hAnsi="Verdana"/>
          <w:sz w:val="20"/>
          <w:szCs w:val="20"/>
        </w:rPr>
        <w:t xml:space="preserve"> </w:t>
      </w:r>
    </w:p>
    <w:p w14:paraId="49BD23A1" w14:textId="77777777" w:rsidR="001B0F68" w:rsidRDefault="001B0F68" w:rsidP="00A72C5A">
      <w:pPr>
        <w:jc w:val="both"/>
        <w:rPr>
          <w:rFonts w:ascii="Verdana" w:hAnsi="Verdana"/>
          <w:sz w:val="20"/>
          <w:szCs w:val="20"/>
        </w:rPr>
      </w:pPr>
    </w:p>
    <w:p w14:paraId="1C6E58FF" w14:textId="77777777" w:rsidR="001B0F68" w:rsidRDefault="001B0F68" w:rsidP="00A72C5A">
      <w:pPr>
        <w:jc w:val="both"/>
        <w:rPr>
          <w:rFonts w:ascii="Verdana" w:hAnsi="Verdana"/>
          <w:sz w:val="20"/>
          <w:szCs w:val="20"/>
        </w:rPr>
      </w:pPr>
    </w:p>
    <w:p w14:paraId="3AB54329" w14:textId="1DC38B77" w:rsidR="0070738C" w:rsidRPr="0070738C" w:rsidRDefault="0070738C" w:rsidP="0070738C">
      <w:pPr>
        <w:jc w:val="both"/>
        <w:rPr>
          <w:rFonts w:ascii="Verdana" w:hAnsi="Verdana"/>
          <w:b/>
          <w:bCs/>
          <w:sz w:val="20"/>
          <w:szCs w:val="20"/>
          <w:lang w:val="da-DK"/>
        </w:rPr>
      </w:pPr>
      <w:r w:rsidRPr="0070738C">
        <w:rPr>
          <w:rFonts w:ascii="Verdana" w:hAnsi="Verdana"/>
          <w:b/>
          <w:bCs/>
          <w:sz w:val="20"/>
          <w:szCs w:val="20"/>
          <w:lang w:val="da-DK"/>
        </w:rPr>
        <w:t xml:space="preserve">O DSV – Global Transport and Logistics </w:t>
      </w:r>
    </w:p>
    <w:p w14:paraId="56DE3FDA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  <w:r w:rsidRPr="0070738C">
        <w:rPr>
          <w:rFonts w:ascii="Verdana" w:hAnsi="Verdana"/>
          <w:sz w:val="20"/>
          <w:szCs w:val="20"/>
          <w:lang w:val="da-DK"/>
        </w:rPr>
        <w:t>W DSV naszym celem jest zapewnienie sprawnego funkcjonowania łańcuchów dostaw naszych klientów. Każdego roku obsługujemy dla nich miliony przesyłek, świadcząc niezawodne i efektywne usługi z zakresu spedycji lotniczej oraz morskiej, transportu drogowego i kolejowego oraz logistyki kontraktowej, w świecie, który nieustannie się zmienia. Naszą wizją jest budowanie długofalowego, zrównoważonego wzrostu oraz trwałej wartości dla klientów, pracowników, akcjonariuszy i całego społeczeństwa.</w:t>
      </w:r>
    </w:p>
    <w:p w14:paraId="274484BC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</w:p>
    <w:p w14:paraId="0AA4E16A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  <w:r w:rsidRPr="0070738C">
        <w:rPr>
          <w:rFonts w:ascii="Verdana" w:hAnsi="Verdana"/>
          <w:sz w:val="20"/>
          <w:szCs w:val="20"/>
          <w:lang w:val="da-DK"/>
        </w:rPr>
        <w:t>Blisko 150 000 pracowników w ponad 90 krajach każdego dnia dokłada starań, aby zapewniać klientom najlepsze doświadczenia oraz najwyższej jakości usługi. Zobowiązanie do prowadzenia działalności w sposób zrównoważony stanowi kluczowy element naszej strategii biznesowej. </w:t>
      </w:r>
    </w:p>
    <w:p w14:paraId="72684D10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</w:p>
    <w:p w14:paraId="26614970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  <w:r w:rsidRPr="0070738C">
        <w:rPr>
          <w:rFonts w:ascii="Verdana" w:hAnsi="Verdana"/>
          <w:sz w:val="20"/>
          <w:szCs w:val="20"/>
          <w:lang w:val="da-DK"/>
        </w:rPr>
        <w:t xml:space="preserve">Więcej informacji: </w:t>
      </w:r>
      <w:hyperlink r:id="rId8" w:history="1">
        <w:r w:rsidRPr="0070738C">
          <w:rPr>
            <w:rStyle w:val="Hipercze"/>
            <w:rFonts w:ascii="Verdana" w:hAnsi="Verdana"/>
            <w:sz w:val="20"/>
            <w:szCs w:val="20"/>
            <w:lang w:val="da-DK"/>
          </w:rPr>
          <w:t>www.dsv.com</w:t>
        </w:r>
      </w:hyperlink>
    </w:p>
    <w:p w14:paraId="7D4B1371" w14:textId="77777777" w:rsidR="0070738C" w:rsidRPr="0070738C" w:rsidRDefault="0070738C" w:rsidP="0070738C">
      <w:pPr>
        <w:jc w:val="both"/>
        <w:rPr>
          <w:rFonts w:ascii="Verdana" w:hAnsi="Verdana"/>
          <w:sz w:val="20"/>
          <w:szCs w:val="20"/>
          <w:lang w:val="da-DK"/>
        </w:rPr>
      </w:pPr>
    </w:p>
    <w:p w14:paraId="3B0AAC39" w14:textId="77777777" w:rsidR="0070738C" w:rsidRPr="00906F33" w:rsidRDefault="0070738C" w:rsidP="00A72C5A">
      <w:pPr>
        <w:jc w:val="both"/>
        <w:rPr>
          <w:rFonts w:ascii="Verdana" w:hAnsi="Verdana"/>
          <w:sz w:val="20"/>
          <w:szCs w:val="20"/>
        </w:rPr>
      </w:pPr>
    </w:p>
    <w:sectPr w:rsidR="0070738C" w:rsidRPr="00906F33">
      <w:headerReference w:type="default" r:id="rId9"/>
      <w:footerReference w:type="default" r:id="rId10"/>
      <w:pgSz w:w="12240" w:h="15840"/>
      <w:pgMar w:top="1417" w:right="1417" w:bottom="1417" w:left="1417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44F9" w14:textId="77777777" w:rsidR="00A51647" w:rsidRDefault="00A51647">
      <w:r>
        <w:separator/>
      </w:r>
    </w:p>
  </w:endnote>
  <w:endnote w:type="continuationSeparator" w:id="0">
    <w:p w14:paraId="580F4B30" w14:textId="77777777" w:rsidR="00A51647" w:rsidRDefault="00A5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swiss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D9F4" w14:textId="77777777" w:rsidR="00E30F4A" w:rsidRDefault="00E30F4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B03B" w14:textId="77777777" w:rsidR="00A51647" w:rsidRDefault="00A51647">
      <w:r>
        <w:separator/>
      </w:r>
    </w:p>
  </w:footnote>
  <w:footnote w:type="continuationSeparator" w:id="0">
    <w:p w14:paraId="57B6BE98" w14:textId="77777777" w:rsidR="00A51647" w:rsidRDefault="00A5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907E" w14:textId="77777777" w:rsidR="00E30F4A" w:rsidRDefault="00693550">
    <w:pPr>
      <w:pStyle w:val="Nagwek"/>
      <w:tabs>
        <w:tab w:val="clear" w:pos="4703"/>
        <w:tab w:val="clear" w:pos="9406"/>
        <w:tab w:val="left" w:pos="3552"/>
      </w:tabs>
      <w:jc w:val="right"/>
    </w:pPr>
    <w:r>
      <w:rPr>
        <w:noProof/>
      </w:rPr>
      <w:drawing>
        <wp:anchor distT="0" distB="0" distL="0" distR="0" simplePos="0" relativeHeight="251658240" behindDoc="1" locked="0" layoutInCell="0" allowOverlap="1" wp14:anchorId="3ACE3B7B" wp14:editId="14CCBDAB">
          <wp:simplePos x="0" y="0"/>
          <wp:positionH relativeFrom="page">
            <wp:posOffset>215900</wp:posOffset>
          </wp:positionH>
          <wp:positionV relativeFrom="page">
            <wp:posOffset>196850</wp:posOffset>
          </wp:positionV>
          <wp:extent cx="2489200" cy="443230"/>
          <wp:effectExtent l="0" t="0" r="0" b="0"/>
          <wp:wrapNone/>
          <wp:docPr id="1" name="officeArt object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az zawierający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384" r="3501" b="17188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INFORMACJA PRASOWA</w:t>
    </w:r>
  </w:p>
  <w:p w14:paraId="5F410D1C" w14:textId="77777777" w:rsidR="00E30F4A" w:rsidRDefault="00693550">
    <w:pPr>
      <w:pStyle w:val="Nagwek"/>
      <w:tabs>
        <w:tab w:val="clear" w:pos="4703"/>
        <w:tab w:val="clear" w:pos="9406"/>
        <w:tab w:val="left" w:pos="3552"/>
      </w:tabs>
      <w:jc w:val="right"/>
    </w:pPr>
    <w:r>
      <w:rPr>
        <w:lang w:val="en-US"/>
      </w:rPr>
      <w:t xml:space="preserve">PRESS RELEASE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51F"/>
    <w:multiLevelType w:val="hybridMultilevel"/>
    <w:tmpl w:val="E21E579E"/>
    <w:lvl w:ilvl="0" w:tplc="6722F6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2B87"/>
    <w:multiLevelType w:val="multilevel"/>
    <w:tmpl w:val="208C0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C65F60"/>
    <w:multiLevelType w:val="multilevel"/>
    <w:tmpl w:val="3CC83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43F4A"/>
    <w:multiLevelType w:val="multilevel"/>
    <w:tmpl w:val="805A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11CD0"/>
    <w:multiLevelType w:val="hybridMultilevel"/>
    <w:tmpl w:val="CFCC6736"/>
    <w:lvl w:ilvl="0" w:tplc="5B80B3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07021"/>
    <w:multiLevelType w:val="hybridMultilevel"/>
    <w:tmpl w:val="9208C0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75F2"/>
    <w:multiLevelType w:val="multilevel"/>
    <w:tmpl w:val="24C03D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DB525D"/>
    <w:multiLevelType w:val="multilevel"/>
    <w:tmpl w:val="1880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277489">
    <w:abstractNumId w:val="6"/>
  </w:num>
  <w:num w:numId="2" w16cid:durableId="1413117815">
    <w:abstractNumId w:val="1"/>
  </w:num>
  <w:num w:numId="3" w16cid:durableId="349642342">
    <w:abstractNumId w:val="2"/>
  </w:num>
  <w:num w:numId="4" w16cid:durableId="1729838282">
    <w:abstractNumId w:val="5"/>
  </w:num>
  <w:num w:numId="5" w16cid:durableId="276258942">
    <w:abstractNumId w:val="3"/>
  </w:num>
  <w:num w:numId="6" w16cid:durableId="751044063">
    <w:abstractNumId w:val="7"/>
  </w:num>
  <w:num w:numId="7" w16cid:durableId="527068334">
    <w:abstractNumId w:val="4"/>
  </w:num>
  <w:num w:numId="8" w16cid:durableId="109906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4A"/>
    <w:rsid w:val="00002721"/>
    <w:rsid w:val="00004E87"/>
    <w:rsid w:val="000109AE"/>
    <w:rsid w:val="000122D8"/>
    <w:rsid w:val="000204CE"/>
    <w:rsid w:val="00037307"/>
    <w:rsid w:val="00037B68"/>
    <w:rsid w:val="00044D62"/>
    <w:rsid w:val="00055CF9"/>
    <w:rsid w:val="00067E06"/>
    <w:rsid w:val="00074A45"/>
    <w:rsid w:val="00075803"/>
    <w:rsid w:val="0007585D"/>
    <w:rsid w:val="00087354"/>
    <w:rsid w:val="0009277C"/>
    <w:rsid w:val="000A485E"/>
    <w:rsid w:val="000B38E0"/>
    <w:rsid w:val="000B4BAC"/>
    <w:rsid w:val="000C0276"/>
    <w:rsid w:val="000C1509"/>
    <w:rsid w:val="000C1BAB"/>
    <w:rsid w:val="000C7DF7"/>
    <w:rsid w:val="000D5EEB"/>
    <w:rsid w:val="000E5E67"/>
    <w:rsid w:val="000F358A"/>
    <w:rsid w:val="000F4042"/>
    <w:rsid w:val="0010101E"/>
    <w:rsid w:val="00102A32"/>
    <w:rsid w:val="00104B2B"/>
    <w:rsid w:val="001161F3"/>
    <w:rsid w:val="00122DEC"/>
    <w:rsid w:val="001325CF"/>
    <w:rsid w:val="001404CA"/>
    <w:rsid w:val="00143719"/>
    <w:rsid w:val="00157C8E"/>
    <w:rsid w:val="00161DFE"/>
    <w:rsid w:val="001628E1"/>
    <w:rsid w:val="00166E44"/>
    <w:rsid w:val="00173C02"/>
    <w:rsid w:val="001769B7"/>
    <w:rsid w:val="00176D91"/>
    <w:rsid w:val="001771D2"/>
    <w:rsid w:val="00182DAB"/>
    <w:rsid w:val="001833B9"/>
    <w:rsid w:val="00187892"/>
    <w:rsid w:val="00190175"/>
    <w:rsid w:val="00193A64"/>
    <w:rsid w:val="00193B68"/>
    <w:rsid w:val="001A2060"/>
    <w:rsid w:val="001A25D9"/>
    <w:rsid w:val="001B0F68"/>
    <w:rsid w:val="001C468F"/>
    <w:rsid w:val="001D23C2"/>
    <w:rsid w:val="001D6B17"/>
    <w:rsid w:val="001F76C0"/>
    <w:rsid w:val="00205712"/>
    <w:rsid w:val="00212F20"/>
    <w:rsid w:val="00214020"/>
    <w:rsid w:val="002328CA"/>
    <w:rsid w:val="002335C5"/>
    <w:rsid w:val="00243496"/>
    <w:rsid w:val="002532B2"/>
    <w:rsid w:val="00260B2D"/>
    <w:rsid w:val="00262231"/>
    <w:rsid w:val="00262F1F"/>
    <w:rsid w:val="00270EA6"/>
    <w:rsid w:val="00273B82"/>
    <w:rsid w:val="00274AD1"/>
    <w:rsid w:val="002863FF"/>
    <w:rsid w:val="002A1122"/>
    <w:rsid w:val="002A4B06"/>
    <w:rsid w:val="002C0BD5"/>
    <w:rsid w:val="002C512C"/>
    <w:rsid w:val="002C64C8"/>
    <w:rsid w:val="002D2411"/>
    <w:rsid w:val="002E519A"/>
    <w:rsid w:val="002E5DDE"/>
    <w:rsid w:val="002F03E5"/>
    <w:rsid w:val="002F2E5F"/>
    <w:rsid w:val="003021ED"/>
    <w:rsid w:val="00314754"/>
    <w:rsid w:val="00320F1A"/>
    <w:rsid w:val="0033513E"/>
    <w:rsid w:val="00337B09"/>
    <w:rsid w:val="0034561C"/>
    <w:rsid w:val="003540AC"/>
    <w:rsid w:val="00361906"/>
    <w:rsid w:val="00362327"/>
    <w:rsid w:val="003671CA"/>
    <w:rsid w:val="00375DC2"/>
    <w:rsid w:val="00380455"/>
    <w:rsid w:val="00386EB0"/>
    <w:rsid w:val="00387322"/>
    <w:rsid w:val="00387F7D"/>
    <w:rsid w:val="00395AE0"/>
    <w:rsid w:val="00397F17"/>
    <w:rsid w:val="003A15FD"/>
    <w:rsid w:val="003A54F5"/>
    <w:rsid w:val="003C67FA"/>
    <w:rsid w:val="003D4338"/>
    <w:rsid w:val="003E095F"/>
    <w:rsid w:val="003E1DA5"/>
    <w:rsid w:val="003E2B18"/>
    <w:rsid w:val="003F6A0D"/>
    <w:rsid w:val="003F723B"/>
    <w:rsid w:val="0040112E"/>
    <w:rsid w:val="00406495"/>
    <w:rsid w:val="00406C55"/>
    <w:rsid w:val="00414162"/>
    <w:rsid w:val="00416746"/>
    <w:rsid w:val="004233A1"/>
    <w:rsid w:val="004235B3"/>
    <w:rsid w:val="004248B8"/>
    <w:rsid w:val="004278F3"/>
    <w:rsid w:val="00460500"/>
    <w:rsid w:val="00464285"/>
    <w:rsid w:val="0047576C"/>
    <w:rsid w:val="00475A90"/>
    <w:rsid w:val="00477727"/>
    <w:rsid w:val="00477C9D"/>
    <w:rsid w:val="0048315C"/>
    <w:rsid w:val="004901AF"/>
    <w:rsid w:val="004B225F"/>
    <w:rsid w:val="004B28B2"/>
    <w:rsid w:val="004D1BAE"/>
    <w:rsid w:val="004E63F8"/>
    <w:rsid w:val="004E6A8D"/>
    <w:rsid w:val="00507E28"/>
    <w:rsid w:val="00521BE1"/>
    <w:rsid w:val="00524D1E"/>
    <w:rsid w:val="005445ED"/>
    <w:rsid w:val="005471A4"/>
    <w:rsid w:val="00550B63"/>
    <w:rsid w:val="00562302"/>
    <w:rsid w:val="0057171A"/>
    <w:rsid w:val="00575BB3"/>
    <w:rsid w:val="0058146E"/>
    <w:rsid w:val="00590115"/>
    <w:rsid w:val="005949D7"/>
    <w:rsid w:val="00594BD9"/>
    <w:rsid w:val="00596E63"/>
    <w:rsid w:val="00597DB3"/>
    <w:rsid w:val="005A3CAA"/>
    <w:rsid w:val="005A3DF7"/>
    <w:rsid w:val="005A6DA1"/>
    <w:rsid w:val="005B2E28"/>
    <w:rsid w:val="005B3260"/>
    <w:rsid w:val="005B3C68"/>
    <w:rsid w:val="005B478A"/>
    <w:rsid w:val="005C015B"/>
    <w:rsid w:val="005C040F"/>
    <w:rsid w:val="005C0FB0"/>
    <w:rsid w:val="005D26CD"/>
    <w:rsid w:val="005F4556"/>
    <w:rsid w:val="005F4AB6"/>
    <w:rsid w:val="006300F5"/>
    <w:rsid w:val="0063641E"/>
    <w:rsid w:val="0064568F"/>
    <w:rsid w:val="00647338"/>
    <w:rsid w:val="00651F0B"/>
    <w:rsid w:val="006554B6"/>
    <w:rsid w:val="00657DF3"/>
    <w:rsid w:val="0066299C"/>
    <w:rsid w:val="00671121"/>
    <w:rsid w:val="006818E1"/>
    <w:rsid w:val="006840C5"/>
    <w:rsid w:val="00692E11"/>
    <w:rsid w:val="00693550"/>
    <w:rsid w:val="00696A08"/>
    <w:rsid w:val="006A1B43"/>
    <w:rsid w:val="006B2E68"/>
    <w:rsid w:val="006B73AD"/>
    <w:rsid w:val="006D06F8"/>
    <w:rsid w:val="006D5E26"/>
    <w:rsid w:val="006E03A7"/>
    <w:rsid w:val="006E3CEB"/>
    <w:rsid w:val="006F1964"/>
    <w:rsid w:val="00700F9C"/>
    <w:rsid w:val="00701257"/>
    <w:rsid w:val="00705A52"/>
    <w:rsid w:val="0070647D"/>
    <w:rsid w:val="0070709A"/>
    <w:rsid w:val="007070E1"/>
    <w:rsid w:val="0070738C"/>
    <w:rsid w:val="00712A2A"/>
    <w:rsid w:val="00713AF0"/>
    <w:rsid w:val="007169AD"/>
    <w:rsid w:val="0072714E"/>
    <w:rsid w:val="00733039"/>
    <w:rsid w:val="00737B5A"/>
    <w:rsid w:val="0074349A"/>
    <w:rsid w:val="007474BF"/>
    <w:rsid w:val="00747674"/>
    <w:rsid w:val="007710EC"/>
    <w:rsid w:val="00790E7B"/>
    <w:rsid w:val="00793CDE"/>
    <w:rsid w:val="00794079"/>
    <w:rsid w:val="007949AE"/>
    <w:rsid w:val="007A210D"/>
    <w:rsid w:val="007B4967"/>
    <w:rsid w:val="007B4DA4"/>
    <w:rsid w:val="007C2370"/>
    <w:rsid w:val="007C5E85"/>
    <w:rsid w:val="008031F0"/>
    <w:rsid w:val="008036F3"/>
    <w:rsid w:val="0080468D"/>
    <w:rsid w:val="008353F5"/>
    <w:rsid w:val="00855CE5"/>
    <w:rsid w:val="00855EDA"/>
    <w:rsid w:val="008634CC"/>
    <w:rsid w:val="00867AEF"/>
    <w:rsid w:val="00867BD9"/>
    <w:rsid w:val="00871FC1"/>
    <w:rsid w:val="008778C1"/>
    <w:rsid w:val="00882B73"/>
    <w:rsid w:val="00884208"/>
    <w:rsid w:val="00885A2D"/>
    <w:rsid w:val="00892A31"/>
    <w:rsid w:val="008960B5"/>
    <w:rsid w:val="008A1DE8"/>
    <w:rsid w:val="008A30B7"/>
    <w:rsid w:val="008A4098"/>
    <w:rsid w:val="008B73FC"/>
    <w:rsid w:val="008C3D57"/>
    <w:rsid w:val="008D19E4"/>
    <w:rsid w:val="008E1F00"/>
    <w:rsid w:val="008E5754"/>
    <w:rsid w:val="00903E7A"/>
    <w:rsid w:val="00906F33"/>
    <w:rsid w:val="00907872"/>
    <w:rsid w:val="00916652"/>
    <w:rsid w:val="00920B70"/>
    <w:rsid w:val="0092125E"/>
    <w:rsid w:val="009272F5"/>
    <w:rsid w:val="0093162A"/>
    <w:rsid w:val="009326FA"/>
    <w:rsid w:val="0093535B"/>
    <w:rsid w:val="009403ED"/>
    <w:rsid w:val="009435CC"/>
    <w:rsid w:val="0095178C"/>
    <w:rsid w:val="00952B29"/>
    <w:rsid w:val="00954FED"/>
    <w:rsid w:val="00961A09"/>
    <w:rsid w:val="00962143"/>
    <w:rsid w:val="00966772"/>
    <w:rsid w:val="00967576"/>
    <w:rsid w:val="00967944"/>
    <w:rsid w:val="0097135D"/>
    <w:rsid w:val="0098106A"/>
    <w:rsid w:val="009833AF"/>
    <w:rsid w:val="009906F1"/>
    <w:rsid w:val="009B0E3F"/>
    <w:rsid w:val="009B44D4"/>
    <w:rsid w:val="009B5148"/>
    <w:rsid w:val="009B6D4E"/>
    <w:rsid w:val="009C0A8A"/>
    <w:rsid w:val="009C1603"/>
    <w:rsid w:val="009C23B2"/>
    <w:rsid w:val="009C287F"/>
    <w:rsid w:val="009C71B9"/>
    <w:rsid w:val="009D5983"/>
    <w:rsid w:val="009E4A12"/>
    <w:rsid w:val="009E72F0"/>
    <w:rsid w:val="00A0140C"/>
    <w:rsid w:val="00A0345E"/>
    <w:rsid w:val="00A04862"/>
    <w:rsid w:val="00A0723D"/>
    <w:rsid w:val="00A07741"/>
    <w:rsid w:val="00A07B29"/>
    <w:rsid w:val="00A11184"/>
    <w:rsid w:val="00A17C6C"/>
    <w:rsid w:val="00A21F75"/>
    <w:rsid w:val="00A24010"/>
    <w:rsid w:val="00A26E91"/>
    <w:rsid w:val="00A277C1"/>
    <w:rsid w:val="00A34041"/>
    <w:rsid w:val="00A42B41"/>
    <w:rsid w:val="00A42C6D"/>
    <w:rsid w:val="00A43107"/>
    <w:rsid w:val="00A46BF2"/>
    <w:rsid w:val="00A51647"/>
    <w:rsid w:val="00A559E5"/>
    <w:rsid w:val="00A55B19"/>
    <w:rsid w:val="00A572BC"/>
    <w:rsid w:val="00A66062"/>
    <w:rsid w:val="00A67BF4"/>
    <w:rsid w:val="00A71D31"/>
    <w:rsid w:val="00A72C5A"/>
    <w:rsid w:val="00A76DE4"/>
    <w:rsid w:val="00A778EA"/>
    <w:rsid w:val="00A85CEA"/>
    <w:rsid w:val="00AA4213"/>
    <w:rsid w:val="00AB1BAF"/>
    <w:rsid w:val="00AB47BE"/>
    <w:rsid w:val="00AC7CE0"/>
    <w:rsid w:val="00AD04B7"/>
    <w:rsid w:val="00AD4DB5"/>
    <w:rsid w:val="00AD772D"/>
    <w:rsid w:val="00AE2BCA"/>
    <w:rsid w:val="00AE6443"/>
    <w:rsid w:val="00AF1CCC"/>
    <w:rsid w:val="00AF722D"/>
    <w:rsid w:val="00B053F2"/>
    <w:rsid w:val="00B15130"/>
    <w:rsid w:val="00B17E2C"/>
    <w:rsid w:val="00B212DD"/>
    <w:rsid w:val="00B23B44"/>
    <w:rsid w:val="00B407CD"/>
    <w:rsid w:val="00B4380B"/>
    <w:rsid w:val="00B44852"/>
    <w:rsid w:val="00B5691D"/>
    <w:rsid w:val="00B60625"/>
    <w:rsid w:val="00B610A0"/>
    <w:rsid w:val="00B625D3"/>
    <w:rsid w:val="00B6635A"/>
    <w:rsid w:val="00B707D4"/>
    <w:rsid w:val="00B75B6F"/>
    <w:rsid w:val="00B911C0"/>
    <w:rsid w:val="00BA0DCF"/>
    <w:rsid w:val="00BB1E2D"/>
    <w:rsid w:val="00BB229F"/>
    <w:rsid w:val="00BB2F65"/>
    <w:rsid w:val="00BB33BA"/>
    <w:rsid w:val="00BB48EE"/>
    <w:rsid w:val="00BC14BE"/>
    <w:rsid w:val="00BC25A8"/>
    <w:rsid w:val="00BC59FA"/>
    <w:rsid w:val="00BD214F"/>
    <w:rsid w:val="00BD3E70"/>
    <w:rsid w:val="00BD56F5"/>
    <w:rsid w:val="00BD6235"/>
    <w:rsid w:val="00BD6946"/>
    <w:rsid w:val="00BE16BF"/>
    <w:rsid w:val="00BE19E6"/>
    <w:rsid w:val="00BF04D3"/>
    <w:rsid w:val="00BF5DC8"/>
    <w:rsid w:val="00BF62AC"/>
    <w:rsid w:val="00BF655E"/>
    <w:rsid w:val="00C05914"/>
    <w:rsid w:val="00C1100E"/>
    <w:rsid w:val="00C12139"/>
    <w:rsid w:val="00C24760"/>
    <w:rsid w:val="00C301C0"/>
    <w:rsid w:val="00C32233"/>
    <w:rsid w:val="00C44F30"/>
    <w:rsid w:val="00C4605B"/>
    <w:rsid w:val="00C65EE3"/>
    <w:rsid w:val="00C70737"/>
    <w:rsid w:val="00C70ABD"/>
    <w:rsid w:val="00C72005"/>
    <w:rsid w:val="00C73478"/>
    <w:rsid w:val="00CA0BE2"/>
    <w:rsid w:val="00CA3188"/>
    <w:rsid w:val="00CC04CA"/>
    <w:rsid w:val="00CC661A"/>
    <w:rsid w:val="00CC6C2A"/>
    <w:rsid w:val="00CD33B1"/>
    <w:rsid w:val="00CD60E6"/>
    <w:rsid w:val="00CD6963"/>
    <w:rsid w:val="00CF0DA2"/>
    <w:rsid w:val="00CF2588"/>
    <w:rsid w:val="00CF27AE"/>
    <w:rsid w:val="00CF2F9A"/>
    <w:rsid w:val="00CF3DA3"/>
    <w:rsid w:val="00CF5E59"/>
    <w:rsid w:val="00CF6AFD"/>
    <w:rsid w:val="00D02A73"/>
    <w:rsid w:val="00D12109"/>
    <w:rsid w:val="00D15DF6"/>
    <w:rsid w:val="00D21174"/>
    <w:rsid w:val="00D22928"/>
    <w:rsid w:val="00D327BD"/>
    <w:rsid w:val="00D424A7"/>
    <w:rsid w:val="00D534E6"/>
    <w:rsid w:val="00D56ACE"/>
    <w:rsid w:val="00D57243"/>
    <w:rsid w:val="00D7328D"/>
    <w:rsid w:val="00D75473"/>
    <w:rsid w:val="00D831C6"/>
    <w:rsid w:val="00D85F1B"/>
    <w:rsid w:val="00DA141F"/>
    <w:rsid w:val="00DA5B13"/>
    <w:rsid w:val="00DB04A4"/>
    <w:rsid w:val="00DC5173"/>
    <w:rsid w:val="00DD3466"/>
    <w:rsid w:val="00DD7004"/>
    <w:rsid w:val="00DE12A1"/>
    <w:rsid w:val="00DF0D07"/>
    <w:rsid w:val="00DF35D9"/>
    <w:rsid w:val="00E17F53"/>
    <w:rsid w:val="00E272CB"/>
    <w:rsid w:val="00E30F4A"/>
    <w:rsid w:val="00E31880"/>
    <w:rsid w:val="00E34943"/>
    <w:rsid w:val="00E41256"/>
    <w:rsid w:val="00E60737"/>
    <w:rsid w:val="00E647B0"/>
    <w:rsid w:val="00E66667"/>
    <w:rsid w:val="00E761CD"/>
    <w:rsid w:val="00E76553"/>
    <w:rsid w:val="00E80165"/>
    <w:rsid w:val="00E828C4"/>
    <w:rsid w:val="00E829CB"/>
    <w:rsid w:val="00E97C8C"/>
    <w:rsid w:val="00EA750F"/>
    <w:rsid w:val="00EC1BF3"/>
    <w:rsid w:val="00ED5383"/>
    <w:rsid w:val="00ED55D5"/>
    <w:rsid w:val="00EF573F"/>
    <w:rsid w:val="00EF5B76"/>
    <w:rsid w:val="00F007D1"/>
    <w:rsid w:val="00F01356"/>
    <w:rsid w:val="00F14DD1"/>
    <w:rsid w:val="00F1500E"/>
    <w:rsid w:val="00F3135F"/>
    <w:rsid w:val="00F357AD"/>
    <w:rsid w:val="00F5030F"/>
    <w:rsid w:val="00F62E6F"/>
    <w:rsid w:val="00F671E6"/>
    <w:rsid w:val="00F77FB6"/>
    <w:rsid w:val="00F84842"/>
    <w:rsid w:val="00F910DD"/>
    <w:rsid w:val="00FA3095"/>
    <w:rsid w:val="00FA7AC4"/>
    <w:rsid w:val="00FC0A20"/>
    <w:rsid w:val="00FC1481"/>
    <w:rsid w:val="00FC31BE"/>
    <w:rsid w:val="00FC40BF"/>
    <w:rsid w:val="00FC5358"/>
    <w:rsid w:val="00FD1C3B"/>
    <w:rsid w:val="00FD2096"/>
    <w:rsid w:val="00FD7097"/>
    <w:rsid w:val="00FE3629"/>
    <w:rsid w:val="00FF0C70"/>
    <w:rsid w:val="00FF389E"/>
    <w:rsid w:val="00FF4CE6"/>
    <w:rsid w:val="00FF6966"/>
    <w:rsid w:val="0D6EF4A0"/>
    <w:rsid w:val="1F7B17D7"/>
    <w:rsid w:val="2353B8F4"/>
    <w:rsid w:val="32B0BFFA"/>
    <w:rsid w:val="33A98064"/>
    <w:rsid w:val="3DBE4694"/>
    <w:rsid w:val="4279F7F6"/>
    <w:rsid w:val="4E28D97F"/>
    <w:rsid w:val="52023B7F"/>
    <w:rsid w:val="55ED3C0C"/>
    <w:rsid w:val="56728115"/>
    <w:rsid w:val="5D4B9697"/>
    <w:rsid w:val="5D68B4EF"/>
    <w:rsid w:val="63D54AF2"/>
    <w:rsid w:val="65D42780"/>
    <w:rsid w:val="6F49E0D7"/>
    <w:rsid w:val="750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7E1F"/>
  <w15:docId w15:val="{8E12BAED-CBCA-704C-B129-2F1A7710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gwek3">
    <w:name w:val="heading 3"/>
    <w:basedOn w:val="Heading"/>
    <w:next w:val="Tekstpodstawowy"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 w:color="FFFFFF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Verdana" w:eastAsia="Verdana" w:hAnsi="Verdana" w:cs="Verdana"/>
      <w:outline w:val="0"/>
      <w:color w:val="0000FF"/>
      <w:sz w:val="20"/>
      <w:szCs w:val="20"/>
      <w:u w:val="single" w:color="0000FF"/>
      <w:lang w:val="en-US"/>
    </w:rPr>
  </w:style>
  <w:style w:type="character" w:customStyle="1" w:styleId="apple-converted-space">
    <w:name w:val="apple-converted-space"/>
    <w:basedOn w:val="Domylnaczcionkaakapitu"/>
    <w:qFormat/>
    <w:rsid w:val="009618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377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37709"/>
    <w:rPr>
      <w:rFonts w:eastAsia="Times New Roman" w:cs="Mangal"/>
      <w:color w:val="000000"/>
      <w:szCs w:val="18"/>
      <w:u w:val="none"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37709"/>
    <w:rPr>
      <w:rFonts w:eastAsia="Times New Roman" w:cs="Mangal"/>
      <w:b/>
      <w:bCs/>
      <w:color w:val="000000"/>
      <w:szCs w:val="18"/>
      <w:u w:val="none"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A22AC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F5313"/>
    <w:rPr>
      <w:rFonts w:eastAsia="Times New Roman"/>
      <w:color w:val="000000"/>
      <w:sz w:val="24"/>
      <w:szCs w:val="24"/>
      <w:u w:val="none" w:color="000000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link w:val="TekstpodstawowyZnak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pPr>
      <w:tabs>
        <w:tab w:val="center" w:pos="4703"/>
        <w:tab w:val="right" w:pos="9406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Nagwekistopka">
    <w:name w:val="Nagłówek i stopka"/>
    <w:qFormat/>
    <w:pPr>
      <w:tabs>
        <w:tab w:val="right" w:pos="9020"/>
      </w:tabs>
      <w:suppressAutoHyphens w:val="0"/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HeaderandFooter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3770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37709"/>
    <w:rPr>
      <w:b/>
      <w:bCs/>
    </w:rPr>
  </w:style>
  <w:style w:type="paragraph" w:styleId="Listapunktowana">
    <w:name w:val="List Bullet"/>
    <w:basedOn w:val="Normalny"/>
    <w:uiPriority w:val="99"/>
    <w:unhideWhenUsed/>
    <w:qFormat/>
    <w:rsid w:val="00495ED5"/>
    <w:pPr>
      <w:numPr>
        <w:numId w:val="1"/>
      </w:numPr>
      <w:contextualSpacing/>
    </w:pPr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CF5313"/>
    <w:pPr>
      <w:ind w:left="720"/>
      <w:contextualSpacing/>
    </w:pPr>
    <w:rPr>
      <w:rFonts w:cs="Mangal"/>
      <w:szCs w:val="21"/>
    </w:r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17C6C"/>
    <w:pPr>
      <w:suppressAutoHyphens w:val="0"/>
    </w:pPr>
    <w:rPr>
      <w:rFonts w:eastAsia="Times New Roman" w:cs="Mangal"/>
      <w:color w:val="000000"/>
      <w:sz w:val="24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v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attonieurop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Ziemski</dc:creator>
  <dc:description/>
  <cp:lastModifiedBy>Emilia Dziewit</cp:lastModifiedBy>
  <cp:revision>12</cp:revision>
  <dcterms:created xsi:type="dcterms:W3CDTF">2026-06-17T08:07:00Z</dcterms:created>
  <dcterms:modified xsi:type="dcterms:W3CDTF">2026-06-17T10:00:00Z</dcterms:modified>
  <dc:language>pl-PL</dc:language>
</cp:coreProperties>
</file>